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45.png" ContentType="image/png"/>
  <Override PartName="/word/media/rId75.png" ContentType="image/png"/>
  <Override PartName="/word/media/rId76.png" ContentType="image/png"/>
  <Override PartName="/word/media/rId77.png" ContentType="image/png"/>
  <Override PartName="/word/media/rId46.png" ContentType="image/pn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26">
        <w:r>
          <w:rPr>
            <w:rStyle w:val="Hyperlink"/>
          </w:rPr>
          <w:t xml:space="preserve">https://doi.org/10.5281/zenodo.3492200</w:t>
        </w:r>
      </w:hyperlink>
      <w:r>
        <w:t xml:space="preserve">).</w:t>
      </w:r>
    </w:p>
    <w:p>
      <w:pPr>
        <w:pStyle w:val="Heading3"/>
      </w:pPr>
      <w:bookmarkStart w:id="33" w:name="assessing-temporal-biases-in-reporting"/>
      <w:r>
        <w:t xml:space="preserve">Assessing temporal biases in reporting</w:t>
      </w:r>
      <w:bookmarkEnd w:id="33"/>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 based ETS system (2009). The date of notification is then used as a baseline for what inherent seasonal or monthly reporting structure may be present in the date. This approach allows potential biases to be identified and compared across the current and pre-web ETS.</w:t>
      </w:r>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drug-resistance"/>
      <w:r>
        <w:t xml:space="preserve">Drug resistance</w:t>
      </w:r>
      <w:bookmarkEnd w:id="38"/>
    </w:p>
    <w:p>
      <w:pPr>
        <w:pStyle w:val="FirstParagraph"/>
      </w:pPr>
      <w:r>
        <w:t xml:space="preserve">There was evidence that drug resistance was missing with a MAR mechanism for all variables considered (Table 2), excepting year of notification. Men were less likely to be missing than women. Chilrden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pP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pP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pP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pP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pP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pP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pP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39" w:name="bcg-status-and-year-of-bcg-vaccination"/>
      <w:r>
        <w:t xml:space="preserve">BCG status and year of BCG vaccination</w:t>
      </w:r>
      <w:bookmarkEnd w:id="39"/>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compated to other PHE centres.</w:t>
      </w:r>
    </w:p>
    <w:p>
      <w:pPr>
        <w:pStyle w:val="BodyText"/>
      </w:pPr>
      <w:r>
        <w:t xml:space="preserve">Missingness for year of BC vaccination had similar associations as BCG status. However, there was less evidence of an assoicaiton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pP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pP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pP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pP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pP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pP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0" w:name="date-of-symptom-onset"/>
      <w:r>
        <w:t xml:space="preserve">Date of symptom onset</w:t>
      </w:r>
      <w:bookmarkEnd w:id="40"/>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pP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pP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pP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pP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pP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1" w:name="date-of-diagnosis"/>
      <w:r>
        <w:t xml:space="preserve">Date of diagnosis</w:t>
      </w:r>
      <w:bookmarkEnd w:id="41"/>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2" w:name="date-of-starting-treatment-and-ending-treatment"/>
      <w:r>
        <w:t xml:space="preserve">Date of starting treatment and ending treatment</w:t>
      </w:r>
      <w:bookmarkEnd w:id="42"/>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3" w:name="date-of-death-and-cause-of-death."/>
      <w:r>
        <w:t xml:space="preserve">Date of death and cause of death.</w:t>
      </w:r>
      <w:bookmarkEnd w:id="43"/>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4" w:name="assessing-temporal-biases-in-reporting-1"/>
      <w:r>
        <w:t xml:space="preserve">Assessing temporal biases in reporting</w:t>
      </w:r>
      <w:bookmarkEnd w:id="44"/>
    </w:p>
    <w:p>
      <w:pPr>
        <w:pStyle w:val="Compact"/>
        <w:numPr>
          <w:numId w:val="1005"/>
          <w:ilvl w:val="0"/>
        </w:numPr>
      </w:pPr>
      <w:r>
        <w:t xml:space="preserve">Describe pattern in notifications by month and within months.</w:t>
      </w:r>
    </w:p>
    <w:p>
      <w:pPr>
        <w:pStyle w:val="Compact"/>
        <w:numPr>
          <w:numId w:val="1005"/>
          <w:ilvl w:val="0"/>
        </w:numPr>
      </w:pPr>
      <w:r>
        <w:t xml:space="preserve">Describe which variables also follow this pattern.</w:t>
      </w:r>
    </w:p>
    <w:p>
      <w:pPr>
        <w:pStyle w:val="Compact"/>
        <w:numPr>
          <w:numId w:val="1005"/>
          <w:ilvl w:val="0"/>
        </w:numPr>
      </w:pPr>
      <w:r>
        <w:t xml:space="preserve">Discuss variables with potential recall bias.</w:t>
      </w:r>
    </w:p>
    <w:p>
      <w:pPr>
        <w:pStyle w:val="FirstParagraph"/>
      </w:pPr>
      <w:r>
        <w:t xml:space="preserve">It is also likely that some of the dates recorded are inaccurate or systematically biased.</w:t>
      </w:r>
    </w:p>
    <w:p>
      <w:pPr>
        <w:pStyle w:val="BodyText"/>
      </w:pPr>
      <w:r>
        <w:t xml:space="preserve">date of notification can be used as a baseline on which to judge other date variables</w:t>
      </w:r>
    </w:p>
    <w:p>
      <w:pPr>
        <w:pStyle w:val="BodyText"/>
      </w:pPr>
      <w:r>
        <w:t xml:space="preserve">There is some evidence of a seasonal trend in notifications, with a higher proportion of cases notified in the May, June and July than in the rest of the year. This seasonality would have to be accounted for if conducting analysis on a monthly scale and date of notification was being used as the date of first contact with the health system. There is little evidence that date of notification varies by day of the month.</w:t>
      </w:r>
    </w:p>
    <w:p>
      <w:pPr>
        <w:pStyle w:val="BodyText"/>
      </w:pPr>
      <w:r>
        <w:t xml:space="preserve">date of symptom onset, this represents the closest approximation to the date when a case became infectious. Unfortunately there are multiple issues with this measure, the first of which being is that it is only complete across the data extract.</w:t>
      </w:r>
    </w:p>
    <w:p>
      <w:pPr>
        <w:pStyle w:val="BodyText"/>
      </w:pPr>
      <w:r>
        <w:t xml:space="preserve">The date of symptom onset is highly susceptible to recall bias with the majority of cases becoming symptomatic on the first of each month, with some evidence that a greater number of cases occur in January than would be expected.</w:t>
      </w:r>
    </w:p>
    <w:p>
      <w:pPr>
        <w:pStyle w:val="BodyText"/>
      </w:pPr>
      <w:r>
        <w:t xml:space="preserve">Another possible measure of the number of cases is the date of diagnosis, this should be a more reliable variable than the date of symptom onset, as it does not rely on the recall of the case.</w:t>
      </w:r>
    </w:p>
    <w:p>
      <w:pPr>
        <w:pStyle w:val="BodyText"/>
      </w:pPr>
      <w:r>
        <w:t xml:space="preserve">The date of starting treatment should be a more reliable contact date as it records an official contact with the health system. As for the data of notification there is some evidence of a seasonal trend for date of starting treatment, with a peak of cases starting treatment in May, June and July. However, this seasonal trend is difficult to identify when cases starting treatment are visualised by month over time. Unlike the date of symptom onset there is little evidence of recall bias by month, or by day.</w:t>
      </w:r>
    </w:p>
    <w:p>
      <w:pPr>
        <w:pStyle w:val="BodyText"/>
      </w:pPr>
      <w:r>
        <w:t xml:space="preserve">The date of ending treatment does not appear to display similar seasonality. This maybe because treatment time varies between individuals and this dilutes the seasonality observed for the date of starting treatment. As noted previously, there was some evidence of recall bias when the proportion of those ending treatment was examined on a day of the month basis, with a larger proportion ending treatment on the first of the month than on any other day. The date of ending treatment was not recorded in 2000, or 2001, and was highly missing for the first several years after collection began.</w:t>
      </w:r>
    </w:p>
    <w:p>
      <w:pPr>
        <w:pStyle w:val="CaptionedFigure"/>
      </w:pPr>
      <w:r>
        <w:drawing>
          <wp:inline>
            <wp:extent cx="5943600" cy="5943600"/>
            <wp:effectExtent b="0" l="0" r="0" t="0"/>
            <wp:docPr descr="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Heading1"/>
      </w:pPr>
      <w:bookmarkStart w:id="47" w:name="discussion"/>
      <w:r>
        <w:t xml:space="preserve">Discussion</w:t>
      </w:r>
      <w:bookmarkEnd w:id="47"/>
    </w:p>
    <w:p>
      <w:pPr>
        <w:pStyle w:val="Heading3"/>
      </w:pPr>
      <w:bookmarkStart w:id="48" w:name="statement-of-primary-findings"/>
      <w:r>
        <w:t xml:space="preserve">Statement of primary findings</w:t>
      </w:r>
      <w:bookmarkEnd w:id="48"/>
    </w:p>
    <w:p>
      <w:pPr>
        <w:pStyle w:val="FirstParagraph"/>
      </w:pPr>
      <w:r>
        <w:t xml:space="preserve">In the ETS system we found a high degree of missing data for several important variables. We also found that there is likely to be strong missing at random (MAR) mechanism underlying this missing data for multiple variables. Several factors are strongly associated with data being missing for many variables, including UK birth status, ethnic group, socio-economic status and year. These MAR mechanisms must be adjusted for in studies using this data to avoid introducing bias. We found that date variables in particular suffered from changing data completeness over time, which may introduce spurious temporal trends if not fully understood.</w:t>
      </w:r>
    </w:p>
    <w:p>
      <w:pPr>
        <w:pStyle w:val="BodyText"/>
      </w:pPr>
      <w:r>
        <w:rPr>
          <w:i/>
        </w:rPr>
        <w:t xml:space="preserve">The following analysis is not currently in the paper but it was in the chapter - is there a case for including?</w:t>
      </w:r>
    </w:p>
    <w:p>
      <w:pPr>
        <w:pStyle w:val="BodyText"/>
      </w:pPr>
      <w:r>
        <w:t xml:space="preserve">We also found that for several variables, including the date of symptom onset, there was a large degree of recall bias when aggregating by day or month. Several variables, including date of notification and date of starting treatment, showed a seasonal trend with a maximum in the summer months. The date of ending treatment showed less evidence of a seasonal trend.</w:t>
      </w:r>
    </w:p>
    <w:p>
      <w:pPr>
        <w:pStyle w:val="Heading3"/>
      </w:pPr>
      <w:bookmarkStart w:id="49" w:name="strengths-and-limitations-of-the-study"/>
      <w:r>
        <w:t xml:space="preserve">Strengths and limitations of the study</w:t>
      </w:r>
      <w:bookmarkEnd w:id="49"/>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50" w:name="strengths-and-limitations-in-comparison-to-the-literature"/>
      <w:r>
        <w:t xml:space="preserve">Strengths and limitations in comparison to the literature</w:t>
      </w:r>
      <w:bookmarkEnd w:id="50"/>
    </w:p>
    <w:p>
      <w:pPr>
        <w:pStyle w:val="Heading3"/>
      </w:pPr>
      <w:bookmarkStart w:id="51" w:name="meaning-of-the-study"/>
      <w:r>
        <w:t xml:space="preserve">Meaning of the study</w:t>
      </w:r>
      <w:bookmarkEnd w:id="51"/>
    </w:p>
    <w:p>
      <w:pPr>
        <w:pStyle w:val="Compact"/>
        <w:numPr>
          <w:numId w:val="1006"/>
          <w:ilvl w:val="0"/>
        </w:numPr>
      </w:pPr>
      <w:r>
        <w:t xml:space="preserve">Surveillance data is likely to have a high degree of missing data. In the ETS missing for key outcomes is associated with demographic factors such as….</w:t>
      </w:r>
    </w:p>
    <w:p>
      <w:pPr>
        <w:pStyle w:val="Compact"/>
        <w:numPr>
          <w:numId w:val="1006"/>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2" w:name="unanswered-questions-and-future-research"/>
      <w:r>
        <w:t xml:space="preserve">Unanswered questions and future research</w:t>
      </w:r>
      <w:bookmarkEnd w:id="52"/>
    </w:p>
    <w:p>
      <w:pPr>
        <w:pStyle w:val="Compact"/>
        <w:numPr>
          <w:numId w:val="1007"/>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3" w:name="references"/>
      <w:r>
        <w:t xml:space="preserve">References</w:t>
      </w:r>
      <w:bookmarkEnd w:id="53"/>
    </w:p>
    <w:bookmarkStart w:id="63" w:name="refs"/>
    <w:bookmarkStart w:id="54"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4"/>
    <w:bookmarkStart w:id="55" w:name="ref-PHE2017"/>
    <w:p>
      <w:pPr>
        <w:pStyle w:val="BodyText"/>
      </w:pPr>
      <w:r>
        <w:t xml:space="preserve">2 Public Health England. Tuberculosis in England 2017 report ( presenting data to end of 2016 ) About Public Health England. 2017.</w:t>
      </w:r>
      <w:r>
        <w:t xml:space="preserve"> </w:t>
      </w:r>
    </w:p>
    <w:bookmarkEnd w:id="55"/>
    <w:bookmarkStart w:id="56"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6"/>
    <w:bookmarkStart w:id="57"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7"/>
    <w:bookmarkStart w:id="58"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58"/>
    <w:bookmarkStart w:id="59" w:name="ref-PHE2016"/>
    <w:p>
      <w:pPr>
        <w:pStyle w:val="BodyText"/>
      </w:pPr>
      <w:r>
        <w:t xml:space="preserve">6 PHE. Tuberculosis in England 2016 Report (presenting data to end of 2015). 2016.</w:t>
      </w:r>
      <w:r>
        <w:t xml:space="preserve"> </w:t>
      </w:r>
    </w:p>
    <w:bookmarkEnd w:id="59"/>
    <w:bookmarkStart w:id="60"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0"/>
    <w:bookmarkStart w:id="61"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1"/>
    <w:bookmarkStart w:id="62" w:name="ref-Groothuis-oudshoorn"/>
    <w:p>
      <w:pPr>
        <w:pStyle w:val="BodyText"/>
      </w:pPr>
      <w:r>
        <w:t xml:space="preserve">9 Groothuis-oudshoorn K. Journal of Statistical Software MICE : Multivariate Imputation by Chained.;</w:t>
      </w:r>
      <w:r>
        <w:rPr>
          <w:b/>
        </w:rPr>
        <w:t xml:space="preserve">VV</w:t>
      </w:r>
      <w:r>
        <w:t xml:space="preserve">.</w:t>
      </w:r>
    </w:p>
    <w:bookmarkEnd w:id="62"/>
    <w:bookmarkEnd w:id="63"/>
    <w:p>
      <w:pPr>
        <w:pStyle w:val="Heading2"/>
      </w:pPr>
      <w:bookmarkStart w:id="64" w:name="results-copy-to-top"/>
      <w:r>
        <w:t xml:space="preserve">Results</w:t>
      </w:r>
      <w:r>
        <w:t xml:space="preserve"> </w:t>
      </w:r>
      <w:r>
        <w:rPr>
          <w:i/>
        </w:rPr>
        <w:t xml:space="preserve">Copy to top</w:t>
      </w:r>
      <w:bookmarkEnd w:id="64"/>
    </w:p>
    <w:p>
      <w:pPr>
        <w:pStyle w:val="Heading1"/>
      </w:pPr>
      <w:bookmarkStart w:id="65"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5"/>
    </w:p>
    <w:p>
      <w:pPr>
        <w:pStyle w:val="FirstParagraph"/>
      </w:pPr>
      <w:r>
        <w:t xml:space="preserve">Sam Abbott, Hannah Christensen, Ellen Brooks-Pollock</w:t>
      </w:r>
    </w:p>
    <w:p>
      <w:pPr>
        <w:pStyle w:val="Heading2"/>
      </w:pPr>
      <w:bookmarkStart w:id="66" w:name="data-completeness-2"/>
      <w:r>
        <w:t xml:space="preserve">Data completeness</w:t>
      </w:r>
      <w:bookmarkEnd w:id="66"/>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w:t>
      </w:r>
    </w:p>
    <w:p>
      <w:pPr>
        <w:pStyle w:val="Heading2"/>
      </w:pPr>
      <w:bookmarkStart w:id="68" w:name="drivers-of-data-completeness---additional-results-tables"/>
      <w:r>
        <w:t xml:space="preserve">Drivers of data completeness - additional results tables</w:t>
      </w:r>
      <w:bookmarkEnd w:id="68"/>
    </w:p>
    <w:p>
      <w:pPr>
        <w:pStyle w:val="Heading3"/>
      </w:pPr>
      <w:bookmarkStart w:id="69" w:name="year-of-bcg-vaccination"/>
      <w:r>
        <w:t xml:space="preserve">Year of BCG vaccination</w:t>
      </w:r>
      <w:bookmarkEnd w:id="69"/>
    </w:p>
    <w:p>
      <w:pPr>
        <w:pStyle w:val="TableCaption"/>
      </w:pPr>
      <w:r>
        <w:t xml:space="preserve">Supplementary Table S6: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6: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pP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pP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pP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pP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pP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pP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0" w:name="date-of-diagnosis-1"/>
      <w:r>
        <w:t xml:space="preserve">Date of diagnosis</w:t>
      </w:r>
      <w:bookmarkEnd w:id="70"/>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pP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pP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pP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pP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pP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pP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1" w:name="date-of-starting-treatment-and-ending-treatment-1"/>
      <w:r>
        <w:t xml:space="preserve">Date of starting treatment and ending treatment</w:t>
      </w:r>
      <w:bookmarkEnd w:id="71"/>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pP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pP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pP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pP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pP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pP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pP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pP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pP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pP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pP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pP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pP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pP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2" w:name="date-of-death"/>
      <w:r>
        <w:t xml:space="preserve">Date of death</w:t>
      </w:r>
      <w:bookmarkEnd w:id="72"/>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pP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pP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pP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pP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pP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pP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pP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3" w:name="cause-of-death"/>
      <w:r>
        <w:t xml:space="preserve">Cause of death</w:t>
      </w:r>
      <w:bookmarkEnd w:id="73"/>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pP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pP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pP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pP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pP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pP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pP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4" w:name="assessing-temporal-biases-in-reporting-2"/>
      <w:r>
        <w:t xml:space="preserve">Assessing temporal biases in reporting</w:t>
      </w:r>
      <w:bookmarkEnd w:id="74"/>
    </w:p>
    <w:p>
      <w:pPr>
        <w:pStyle w:val="CaptionedFigure"/>
      </w:pPr>
      <w:r>
        <w:drawing>
          <wp:inline>
            <wp:extent cx="5943600" cy="5943600"/>
            <wp:effectExtent b="0" l="0" r="0" t="0"/>
            <wp:docPr descr="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45" Target="media/rId45.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6" Target="media/rId46.png" /><Relationship Type="http://schemas.openxmlformats.org/officeDocument/2006/relationships/image" Id="rId78" Target="media/rId78.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2019-10-21T17:19:29Z</dcterms:created>
  <dcterms:modified xsi:type="dcterms:W3CDTF">2019-10-21T17:19:29Z</dcterms:modified>
</cp:coreProperties>
</file>